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0D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国标宋体"/>
          <w:b/>
          <w:bCs/>
        </w:rPr>
      </w:pPr>
      <w:r>
        <w:rPr>
          <w:rFonts w:hint="eastAsia" w:ascii="Times New Roman" w:hAnsi="Times New Roman" w:eastAsia="宋体" w:cs="国标宋体"/>
          <w:b/>
          <w:bCs/>
        </w:rPr>
        <w:t>文件编号：LXYG-XQ-2026-001　</w:t>
      </w:r>
      <w:r>
        <w:rPr>
          <w:rFonts w:hint="eastAsia" w:ascii="Times New Roman" w:hAnsi="Times New Roman" w:eastAsia="宋体" w:cs="国标宋体"/>
          <w:b/>
          <w:bCs/>
          <w:lang w:val="en-US" w:eastAsia="zh-CN"/>
        </w:rPr>
        <w:t xml:space="preserve">                                                                  </w:t>
      </w:r>
      <w:r>
        <w:rPr>
          <w:rFonts w:hint="eastAsia" w:ascii="Times New Roman" w:hAnsi="Times New Roman" w:eastAsia="宋体" w:cs="国标宋体"/>
          <w:b/>
          <w:bCs/>
        </w:rPr>
        <w:t>　</w:t>
      </w:r>
      <w:r>
        <w:rPr>
          <w:rFonts w:hint="eastAsia" w:ascii="Times New Roman" w:hAnsi="Times New Roman" w:eastAsia="宋体" w:cs="国标宋体"/>
          <w:b/>
          <w:bCs/>
          <w:lang w:val="en-US" w:eastAsia="zh-CN"/>
        </w:rPr>
        <w:t xml:space="preserve">   </w:t>
      </w:r>
      <w:r>
        <w:rPr>
          <w:rFonts w:hint="eastAsia" w:ascii="Times New Roman" w:hAnsi="Times New Roman" w:eastAsia="宋体" w:cs="国标宋体"/>
          <w:b/>
          <w:bCs/>
        </w:rPr>
        <w:t>密级：内部</w:t>
      </w:r>
    </w:p>
    <w:p w14:paraId="42660F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国标宋体"/>
          <w:b/>
          <w:bCs/>
        </w:rPr>
      </w:pPr>
      <w:r>
        <w:rPr>
          <w:rFonts w:hint="eastAsia" w:ascii="Times New Roman" w:hAnsi="Times New Roman" w:eastAsia="宋体" w:cs="国标宋体"/>
          <w:b/>
          <w:bCs/>
        </w:rPr>
        <w:t>编制单位：四川连芯御光科技有限公司　　</w:t>
      </w:r>
      <w:r>
        <w:rPr>
          <w:rFonts w:hint="eastAsia" w:ascii="Times New Roman" w:hAnsi="Times New Roman" w:eastAsia="宋体" w:cs="国标宋体"/>
          <w:b/>
          <w:bCs/>
          <w:lang w:val="en-US" w:eastAsia="zh-CN"/>
        </w:rPr>
        <w:t xml:space="preserve">                                                     </w:t>
      </w:r>
      <w:r>
        <w:rPr>
          <w:rFonts w:hint="eastAsia" w:ascii="Times New Roman" w:hAnsi="Times New Roman" w:eastAsia="宋体" w:cs="国标宋体"/>
          <w:b/>
          <w:bCs/>
        </w:rPr>
        <w:t>版　本：V1.0　　</w:t>
      </w:r>
      <w:r>
        <w:rPr>
          <w:rFonts w:hint="eastAsia" w:ascii="Times New Roman" w:hAnsi="Times New Roman" w:eastAsia="宋体" w:cs="国标宋体"/>
          <w:b/>
          <w:bCs/>
          <w:lang w:val="en-US" w:eastAsia="zh-CN"/>
        </w:rPr>
        <w:t xml:space="preserve">   </w:t>
      </w:r>
    </w:p>
    <w:p w14:paraId="4967E4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 w:line="360" w:lineRule="auto"/>
        <w:jc w:val="both"/>
        <w:textAlignment w:val="auto"/>
        <w:rPr>
          <w:rFonts w:hint="eastAsia" w:ascii="黑体" w:hAnsi="黑体" w:eastAsia="黑体" w:cs="黑体"/>
          <w:b/>
          <w:color w:val="auto"/>
          <w:sz w:val="56"/>
          <w:szCs w:val="56"/>
        </w:rPr>
      </w:pPr>
    </w:p>
    <w:p w14:paraId="50796C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 w:line="360" w:lineRule="auto"/>
        <w:jc w:val="both"/>
        <w:textAlignment w:val="auto"/>
        <w:rPr>
          <w:rFonts w:hint="eastAsia" w:ascii="黑体" w:hAnsi="黑体" w:eastAsia="黑体" w:cs="黑体"/>
          <w:b/>
          <w:color w:val="auto"/>
          <w:sz w:val="56"/>
          <w:szCs w:val="56"/>
        </w:rPr>
      </w:pPr>
    </w:p>
    <w:p w14:paraId="109CCD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 w:line="360" w:lineRule="auto"/>
        <w:jc w:val="center"/>
        <w:textAlignment w:val="auto"/>
        <w:rPr>
          <w:rFonts w:hint="eastAsia" w:ascii="黑体" w:hAnsi="黑体" w:eastAsia="黑体" w:cs="黑体"/>
          <w:b/>
          <w:color w:val="auto"/>
          <w:sz w:val="56"/>
          <w:szCs w:val="56"/>
        </w:rPr>
      </w:pPr>
    </w:p>
    <w:p w14:paraId="0D6F612C">
      <w:pPr>
        <w:pStyle w:val="3"/>
        <w:bidi w:val="0"/>
        <w:jc w:val="center"/>
        <w:rPr>
          <w:rFonts w:hint="eastAsia"/>
          <w:sz w:val="56"/>
          <w:szCs w:val="56"/>
        </w:rPr>
      </w:pPr>
      <w:r>
        <w:rPr>
          <w:rFonts w:hint="eastAsia"/>
          <w:sz w:val="56"/>
          <w:szCs w:val="56"/>
        </w:rPr>
        <w:t>激光反无光源配套数据需求说明书（</w:t>
      </w:r>
      <w:r>
        <w:rPr>
          <w:rFonts w:hint="eastAsia"/>
          <w:sz w:val="56"/>
          <w:szCs w:val="56"/>
          <w:lang w:val="en-US" w:eastAsia="zh-CN"/>
        </w:rPr>
        <w:t>X</w:t>
      </w:r>
      <w:r>
        <w:rPr>
          <w:rFonts w:hint="eastAsia"/>
          <w:sz w:val="56"/>
          <w:szCs w:val="56"/>
        </w:rPr>
        <w:t>kW光纤激光器）</w:t>
      </w:r>
    </w:p>
    <w:p w14:paraId="59AC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国标宋体"/>
          <w:b/>
          <w:bCs/>
          <w:lang w:val="en-US" w:eastAsia="zh-CN"/>
        </w:rPr>
      </w:pPr>
    </w:p>
    <w:p w14:paraId="04DFF7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国标宋体"/>
          <w:b/>
          <w:bCs/>
          <w:lang w:val="en-US" w:eastAsia="zh-CN"/>
        </w:rPr>
      </w:pPr>
    </w:p>
    <w:p w14:paraId="161C3E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国标宋体"/>
          <w:b/>
          <w:bCs/>
          <w:lang w:val="en-US" w:eastAsia="zh-CN"/>
        </w:rPr>
      </w:pPr>
    </w:p>
    <w:p w14:paraId="272EB6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国标宋体"/>
          <w:b/>
          <w:bCs/>
          <w:lang w:val="en-US" w:eastAsia="zh-CN"/>
        </w:rPr>
      </w:pPr>
    </w:p>
    <w:p w14:paraId="55DF29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国标宋体"/>
          <w:b/>
          <w:bCs/>
          <w:lang w:val="en-US" w:eastAsia="zh-CN"/>
        </w:rPr>
      </w:pPr>
    </w:p>
    <w:p w14:paraId="5B1B5D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国标宋体"/>
          <w:b/>
          <w:bCs/>
          <w:lang w:val="en-US" w:eastAsia="zh-CN"/>
        </w:rPr>
      </w:pPr>
    </w:p>
    <w:p w14:paraId="2A3234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国标宋体"/>
          <w:b/>
          <w:bCs/>
          <w:lang w:val="en-US" w:eastAsia="zh-CN"/>
        </w:rPr>
      </w:pPr>
    </w:p>
    <w:p w14:paraId="6694E4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国标宋体"/>
          <w:b/>
          <w:bCs/>
          <w:lang w:val="en-US" w:eastAsia="zh-CN"/>
        </w:rPr>
      </w:pPr>
    </w:p>
    <w:p w14:paraId="48E98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国标宋体"/>
          <w:b/>
          <w:bCs/>
          <w:lang w:val="en-US" w:eastAsia="zh-CN"/>
        </w:rPr>
      </w:pPr>
      <w:r>
        <w:rPr>
          <w:rFonts w:hint="eastAsia" w:ascii="Times New Roman" w:hAnsi="Times New Roman" w:eastAsia="宋体" w:cs="国标宋体"/>
          <w:b/>
          <w:bCs/>
        </w:rPr>
        <w:t>编制日期：2026-09-0</w:t>
      </w:r>
      <w:r>
        <w:rPr>
          <w:rFonts w:hint="eastAsia" w:ascii="Times New Roman" w:hAnsi="Times New Roman" w:eastAsia="宋体" w:cs="国标宋体"/>
          <w:b/>
          <w:bCs/>
          <w:lang w:val="en-US" w:eastAsia="zh-CN"/>
        </w:rPr>
        <w:t>4</w:t>
      </w:r>
    </w:p>
    <w:p w14:paraId="590C6EBE">
      <w:pPr>
        <w:rPr>
          <w:rFonts w:hint="eastAsia" w:ascii="Times New Roman" w:hAnsi="Times New Roman" w:eastAsia="宋体" w:cs="国标宋体"/>
          <w:b/>
          <w:bCs/>
        </w:rPr>
      </w:pPr>
      <w:r>
        <w:rPr>
          <w:rFonts w:hint="eastAsia" w:ascii="Times New Roman" w:hAnsi="Times New Roman" w:eastAsia="宋体" w:cs="国标宋体"/>
          <w:b/>
          <w:bCs/>
        </w:rPr>
        <w:br w:type="page"/>
      </w:r>
    </w:p>
    <w:sdt>
      <w:sdtPr>
        <w:rPr>
          <w:rFonts w:ascii="宋体" w:hAnsi="宋体" w:eastAsia="宋体" w:cstheme="minorBidi"/>
          <w:sz w:val="21"/>
          <w:szCs w:val="22"/>
          <w:lang w:val="en-US" w:eastAsia="en-US" w:bidi="ar-SA"/>
        </w:rPr>
        <w:id w:val="147476653"/>
        <w15:color w:val="DBDBDB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color w:val="000000" w:themeColor="text1"/>
          <w:sz w:val="22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sdtEndPr>
      <w:sdtContent>
        <w:p w14:paraId="4C404E1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28"/>
            </w:rPr>
          </w:pPr>
          <w:r>
            <w:rPr>
              <w:rFonts w:ascii="宋体" w:hAnsi="宋体" w:eastAsia="宋体"/>
              <w:sz w:val="24"/>
              <w:szCs w:val="28"/>
            </w:rPr>
            <w:t>目录</w:t>
          </w:r>
        </w:p>
        <w:p w14:paraId="234F8A09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黑体" w:hAnsi="黑体" w:eastAsia="黑体" w:cs="黑体"/>
              <w:color w:val="000000" w:themeColor="text1"/>
              <w:sz w:val="22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黑体" w:hAnsi="黑体" w:eastAsia="黑体" w:cs="黑体"/>
              <w:color w:val="000000" w:themeColor="text1"/>
              <w:sz w:val="22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instrText xml:space="preserve">TOC \o "1-2" \h \u </w:instrText>
          </w:r>
          <w:r>
            <w:rPr>
              <w:rFonts w:hint="eastAsia" w:ascii="黑体" w:hAnsi="黑体" w:eastAsia="黑体" w:cs="黑体"/>
              <w:color w:val="000000" w:themeColor="text1"/>
              <w:sz w:val="22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_Toc8842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1　</w:t>
          </w:r>
          <w:r>
            <w:rPr>
              <w:rFonts w:hint="eastAsia" w:ascii="Times New Roman" w:hAnsi="Times New Roman" w:eastAsia="宋体"/>
            </w:rPr>
            <w:t>目的与适用范围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_Toc8842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3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3AD48A18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_Toc23612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1.1　</w:t>
          </w:r>
          <w:r>
            <w:rPr>
              <w:rFonts w:hint="eastAsia" w:ascii="Times New Roman" w:hAnsi="Times New Roman" w:eastAsia="宋体"/>
            </w:rPr>
            <w:t>目的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_Toc23612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3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6ECCD9CF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_Toc17833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1.2　适用范围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_Toc17833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3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37E63796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_Toc5253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2　总体要求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_Toc5253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4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21766F67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_Toc23158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2.1　实测原则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_Toc23158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4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214E6ED6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_Toc13640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2.2　标准依据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_Toc13640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4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450B9D0A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_Toc4688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2.3　第三方检测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_Toc4688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4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3D1B75DC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_Toc6256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　各项数据需求详述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_Toc6256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4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417873F9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_Toc15706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3.1　数据项1：不同环境温度下配合实际制冷机（冷水机）的整机出光测试数据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_Toc15706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4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5E861DCA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_Toc15339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3.2　数据项2：冷却水温梯度（0℃~99℃）下的光束质量（M2）实测数据 —— 重点项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_Toc15339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5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39726669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_Toc32443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3.3　数据项3：整机抗振动、抗冲击特性数据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_Toc32443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6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1F609D21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_Toc10096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3.4　数据项4：不同温度下连续出光时间与两次出光间隔（重频能力）数据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_Toc10096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6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2E7045A8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_Toc5072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3.5　数据项5：长时间连续出光功率与光束质量漂移数据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_Toc5072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7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7A7E4FC6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_Toc11621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3.6　数据项6：功率快速切换（1%↔100%）响应数据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_Toc11621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8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290768DB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_Toc19963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3.7　数据项7：整机系统级联动出光与毁伤效果数据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_Toc19963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8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3E4E137B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_Toc18410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3.8　数据项8：电磁兼容性（EMC）实测数据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_Toc18410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9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0F6E45BD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_Toc7163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3.9　数据项9：可靠性（MTBF/MTTR）与寿命老化数据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_Toc7163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9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4D36B298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_Toc7003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3.10　数据项10：整机工作温度范围与温湿度适应性数据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_Toc7003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9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1A5F6F3D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_Toc9968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3.11　数据项11：关键指标第三方检测报</w:t>
          </w:r>
          <w:r>
            <w:rPr>
              <w:rFonts w:hint="eastAsia" w:ascii="Times New Roman" w:hAnsi="Times New Roman" w:eastAsia="宋体"/>
            </w:rPr>
            <w:t>告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_Toc9968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10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0C8D1ECB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_Toc12743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3.12　数据项12：测试报告规范性与数据溯源要求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_Toc12743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10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1D710C85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_Toc26734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3.13　数据项13：累计使用时长记录与寿命考核方案（三级方案）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_Toc26734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11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2B85D4A3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_Toc24361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4　数据提交要求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_Toc24361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12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1F15ED87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_Toc2645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4.1　提交方式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_Toc2645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12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5653C140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_Toc31851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4.2　提交时间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_Toc31851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12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70D28607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_Toc9801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4.3　数据确认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_Toc9801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12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58FD64AE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_Toc22393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5　验收判定建议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_Toc22393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12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68BFB064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_Toc27132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5.1　判定原则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_Toc27132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12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348B76EE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_Toc26859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5.2　重点考核项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_Toc26859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12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465DF919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_Toc3749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5.3　补充说明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_Toc3749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13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6280D79C">
          <w:pPr>
            <w:pStyle w:val="26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_Toc9237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6　寿命指标建议（参考值，供双方协商确定）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_Toc9237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13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3544C7E3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_Toc17755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6.1　整机可靠性指标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_Toc17755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13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07DD894B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_Toc7290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6.2　泵浦LD寿命阈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_Toc7290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13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06000F4B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_Toc1843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6.3　整机累计出光寿命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_Toc1843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13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0073DAE6">
          <w:pPr>
            <w:pStyle w:val="29"/>
            <w:tabs>
              <w:tab w:val="right" w:leader="dot" w:pos="8640"/>
            </w:tabs>
            <w:rPr>
              <w:rFonts w:ascii="Times New Roman" w:hAnsi="Times New Roman" w:eastAsia="宋体"/>
            </w:rPr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_Toc21497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6.4　贮存寿命与战备要求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_Toc21497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13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77DBA305">
          <w:pPr>
            <w:pStyle w:val="29"/>
            <w:tabs>
              <w:tab w:val="right" w:leader="dot" w:pos="8640"/>
            </w:tabs>
          </w:pP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instrText xml:space="preserve"> HYPERLINK \l _Toc28488 </w:instrText>
          </w:r>
          <w:r>
            <w:rPr>
              <w:rFonts w:hint="eastAsia" w:ascii="Times New Roman" w:hAnsi="Times New Roman" w:eastAsia="宋体" w:cs="黑体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/>
              <w:lang w:val="en-US" w:eastAsia="zh-CN"/>
            </w:rPr>
            <w:t>6.5　寿命终止判据与考核要求：</w:t>
          </w:r>
          <w:r>
            <w:rPr>
              <w:rFonts w:ascii="Times New Roman" w:hAnsi="Times New Roman" w:eastAsia="宋体"/>
            </w:rPr>
            <w:tab/>
          </w:r>
          <w:r>
            <w:rPr>
              <w:rFonts w:ascii="Times New Roman" w:hAnsi="Times New Roman" w:eastAsia="宋体"/>
            </w:rPr>
            <w:fldChar w:fldCharType="begin"/>
          </w:r>
          <w:r>
            <w:rPr>
              <w:rFonts w:ascii="Times New Roman" w:hAnsi="Times New Roman" w:eastAsia="宋体"/>
            </w:rPr>
            <w:instrText xml:space="preserve"> PAGEREF _Toc28488 \h </w:instrText>
          </w:r>
          <w:r>
            <w:rPr>
              <w:rFonts w:ascii="Times New Roman" w:hAnsi="Times New Roman" w:eastAsia="宋体"/>
            </w:rPr>
            <w:fldChar w:fldCharType="separate"/>
          </w:r>
          <w:r>
            <w:rPr>
              <w:rFonts w:ascii="Times New Roman" w:hAnsi="Times New Roman" w:eastAsia="宋体"/>
            </w:rPr>
            <w:t>13</w:t>
          </w:r>
          <w:r>
            <w:rPr>
              <w:rFonts w:ascii="Times New Roman" w:hAnsi="Times New Roman" w:eastAsia="宋体"/>
            </w:rPr>
            <w:fldChar w:fldCharType="end"/>
          </w:r>
          <w:r>
            <w:rPr>
              <w:rFonts w:hint="eastAsia" w:ascii="Times New Roman" w:hAnsi="Times New Roman" w:eastAsia="宋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78A5763C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289" w:beforeLines="80" w:after="217" w:afterLines="60" w:line="360" w:lineRule="auto"/>
            <w:textAlignment w:val="auto"/>
            <w:outlineLvl w:val="0"/>
            <w:rPr>
              <w:rFonts w:hint="eastAsia" w:ascii="黑体" w:hAnsi="黑体" w:eastAsia="黑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ascii="黑体" w:hAnsi="黑体" w:eastAsia="黑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7A195E11">
          <w:pPr>
            <w:rPr>
              <w:rFonts w:hint="eastAsia" w:ascii="黑体" w:hAnsi="黑体" w:eastAsia="黑体" w:cs="黑体"/>
              <w:color w:val="000000" w:themeColor="text1"/>
              <w:sz w:val="22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ascii="黑体" w:hAnsi="黑体" w:eastAsia="黑体" w:cs="黑体"/>
              <w:color w:val="000000" w:themeColor="text1"/>
              <w:szCs w:val="30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br w:type="page"/>
          </w:r>
        </w:p>
      </w:sdtContent>
    </w:sdt>
    <w:p w14:paraId="2E96EF30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textAlignment w:val="auto"/>
        <w:rPr>
          <w:rFonts w:hint="eastAsia"/>
        </w:rPr>
      </w:pPr>
      <w:bookmarkStart w:id="0" w:name="_Toc8842"/>
      <w:r>
        <w:rPr>
          <w:rFonts w:hint="eastAsia"/>
          <w:lang w:val="en-US" w:eastAsia="zh-CN"/>
        </w:rPr>
        <w:t>1　</w:t>
      </w:r>
      <w:r>
        <w:rPr>
          <w:rFonts w:hint="eastAsia"/>
        </w:rPr>
        <w:t>目的与适用范围</w:t>
      </w:r>
      <w:bookmarkEnd w:id="0"/>
    </w:p>
    <w:p w14:paraId="53EDC432">
      <w:pPr>
        <w:pStyle w:val="4"/>
        <w:bidi w:val="0"/>
        <w:rPr>
          <w:rFonts w:hint="eastAsia"/>
        </w:rPr>
      </w:pPr>
      <w:bookmarkStart w:id="1" w:name="_Toc23612"/>
      <w:r>
        <w:rPr>
          <w:rFonts w:hint="eastAsia"/>
          <w:lang w:val="en-US" w:eastAsia="zh-CN"/>
        </w:rPr>
        <w:t>1.1　</w:t>
      </w:r>
      <w:r>
        <w:rPr>
          <w:rFonts w:hint="eastAsia"/>
        </w:rPr>
        <w:t>目的</w:t>
      </w:r>
      <w:bookmarkEnd w:id="1"/>
    </w:p>
    <w:p w14:paraId="3B9E5B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本说明书用于指导激光反无装备配套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X</w:t>
      </w:r>
      <w:r>
        <w:rPr>
          <w:rFonts w:hint="eastAsia" w:ascii="Times New Roman" w:hAnsi="Times New Roman" w:eastAsia="宋体" w:cs="国标宋体"/>
          <w:sz w:val="24"/>
          <w:szCs w:val="24"/>
        </w:rPr>
        <w:t>kW光纤激光器各供应商补充提供光源定型选型所需的验证数据。依据我方对各供应商提交测试资料的评审结论，明确各关键数据项的具体内容、作用与重要性及测试方法，作为双方技术沟通、测试实施和验收判定的依据。</w:t>
      </w:r>
    </w:p>
    <w:p w14:paraId="0F6A02F5">
      <w:pPr>
        <w:pStyle w:val="4"/>
        <w:bidi w:val="0"/>
        <w:rPr>
          <w:rFonts w:hint="eastAsia"/>
          <w:lang w:val="en-US" w:eastAsia="zh-CN"/>
        </w:rPr>
      </w:pPr>
      <w:bookmarkStart w:id="2" w:name="_Toc17833"/>
      <w:r>
        <w:rPr>
          <w:rFonts w:hint="eastAsia"/>
          <w:lang w:val="en-US" w:eastAsia="zh-CN"/>
        </w:rPr>
        <w:t>1.2　适用范围</w:t>
      </w:r>
      <w:bookmarkEnd w:id="2"/>
    </w:p>
    <w:p w14:paraId="3DD5A6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本说明书适用于拟用于车载、舰载或固定阵地激光反无打击系统的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X</w:t>
      </w:r>
      <w:r>
        <w:rPr>
          <w:rFonts w:hint="eastAsia" w:ascii="Times New Roman" w:hAnsi="Times New Roman" w:eastAsia="宋体" w:cs="国标宋体"/>
          <w:sz w:val="24"/>
          <w:szCs w:val="24"/>
        </w:rPr>
        <w:t>kW级高亮度光纤激光器，包括光模块、电模块及配套制冷系统（冷水机）的整机验证数据。</w:t>
      </w:r>
    </w:p>
    <w:p w14:paraId="75B0E4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总体提示：部分供应商提交的测试资料仅覆盖实验室20~25℃冷却水温条件下的主要光学指标验证，但缺少反无实战工况（宽温域、连续打击、机动平台）下的关键验证数据。以下所列数据项均为激光反无装备定型选型的必备输入，任何一项缺失或不合格，将直接影响光源选型评审结论。</w:t>
      </w:r>
    </w:p>
    <w:p w14:paraId="437C24F2">
      <w:pPr>
        <w:pStyle w:val="3"/>
        <w:bidi w:val="0"/>
        <w:rPr>
          <w:rFonts w:hint="eastAsia"/>
          <w:lang w:val="en-US" w:eastAsia="zh-CN"/>
        </w:rPr>
      </w:pPr>
      <w:bookmarkStart w:id="3" w:name="_Toc5253"/>
      <w:r>
        <w:rPr>
          <w:rFonts w:hint="eastAsia"/>
          <w:lang w:val="en-US" w:eastAsia="zh-CN"/>
        </w:rPr>
        <w:t>2　总体要求</w:t>
      </w:r>
      <w:bookmarkEnd w:id="3"/>
    </w:p>
    <w:p w14:paraId="18114594">
      <w:pPr>
        <w:pStyle w:val="4"/>
        <w:bidi w:val="0"/>
        <w:rPr>
          <w:rFonts w:hint="eastAsia"/>
          <w:lang w:val="en-US" w:eastAsia="zh-CN"/>
        </w:rPr>
      </w:pPr>
      <w:bookmarkStart w:id="4" w:name="_Toc23158"/>
      <w:r>
        <w:rPr>
          <w:rFonts w:hint="eastAsia"/>
          <w:lang w:val="en-US" w:eastAsia="zh-CN"/>
        </w:rPr>
        <w:t>2.1　实测原则</w:t>
      </w:r>
      <w:bookmarkEnd w:id="4"/>
    </w:p>
    <w:p w14:paraId="12146B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所有数据须为本型号整机实测数据，禁止引用"同类产品"或其他型号试验结果代替；每项数据附完整测试条件（环境温度、湿度、供电电压、冷却水温/流量/压力）、测试设备、测试日期与测试人员，确保可复现、可追溯。</w:t>
      </w:r>
    </w:p>
    <w:p w14:paraId="406DD22E">
      <w:pPr>
        <w:pStyle w:val="4"/>
        <w:bidi w:val="0"/>
        <w:rPr>
          <w:rFonts w:hint="eastAsia"/>
          <w:lang w:val="en-US" w:eastAsia="zh-CN"/>
        </w:rPr>
      </w:pPr>
      <w:bookmarkStart w:id="5" w:name="_Toc13640"/>
      <w:r>
        <w:rPr>
          <w:rFonts w:hint="eastAsia"/>
          <w:lang w:val="en-US" w:eastAsia="zh-CN"/>
        </w:rPr>
        <w:t>2.2　标准依据</w:t>
      </w:r>
      <w:bookmarkEnd w:id="5"/>
    </w:p>
    <w:p w14:paraId="416956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环境试验按GJB 150系列、振动冲击按GJB 150.16A/150.18A、电磁兼容按GJB 151B-2013、光束质量按ISO 11146、可靠性按GJB 899A等标准执行；对尚未给出量化指标的项，按本说明书第五节判定建议执行。</w:t>
      </w:r>
    </w:p>
    <w:p w14:paraId="7481F5D7">
      <w:pPr>
        <w:pStyle w:val="4"/>
        <w:bidi w:val="0"/>
        <w:rPr>
          <w:rFonts w:hint="eastAsia"/>
          <w:lang w:val="en-US" w:eastAsia="zh-CN"/>
        </w:rPr>
      </w:pPr>
      <w:bookmarkStart w:id="6" w:name="_Toc4688"/>
      <w:r>
        <w:rPr>
          <w:rFonts w:hint="eastAsia"/>
          <w:lang w:val="en-US" w:eastAsia="zh-CN"/>
        </w:rPr>
        <w:t>2.3　第三方检测</w:t>
      </w:r>
      <w:bookmarkEnd w:id="6"/>
    </w:p>
    <w:p w14:paraId="0D0874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输出功率、光束质量M2、光谱等关键指标须由具备CMA/CNAS资质的第三方检测机构出具检测报告；供应商自测数据仅作为过程参考。</w:t>
      </w:r>
    </w:p>
    <w:p w14:paraId="268C45B8">
      <w:pPr>
        <w:pStyle w:val="3"/>
        <w:bidi w:val="0"/>
        <w:rPr>
          <w:rFonts w:hint="eastAsia"/>
          <w:lang w:val="en-US" w:eastAsia="zh-CN"/>
        </w:rPr>
      </w:pPr>
      <w:bookmarkStart w:id="7" w:name="_Toc6256"/>
      <w:r>
        <w:rPr>
          <w:rFonts w:hint="eastAsia"/>
          <w:lang w:val="en-US" w:eastAsia="zh-CN"/>
        </w:rPr>
        <w:t>3　各项数据需求详述</w:t>
      </w:r>
      <w:bookmarkEnd w:id="7"/>
    </w:p>
    <w:p w14:paraId="7DEBEC8B">
      <w:pPr>
        <w:pStyle w:val="4"/>
        <w:bidi w:val="0"/>
        <w:rPr>
          <w:rFonts w:hint="eastAsia"/>
          <w:lang w:val="en-US" w:eastAsia="zh-CN"/>
        </w:rPr>
      </w:pPr>
      <w:bookmarkStart w:id="8" w:name="_Toc15706"/>
      <w:r>
        <w:rPr>
          <w:rFonts w:hint="eastAsia"/>
          <w:lang w:val="en-US" w:eastAsia="zh-CN"/>
        </w:rPr>
        <w:t>3.1　数据项1：不同环境温度下配合实际制冷机（冷水机）的整机出光测试数据</w:t>
      </w:r>
      <w:bookmarkEnd w:id="8"/>
    </w:p>
    <w:p w14:paraId="09B064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在-20℃、0℃、25℃、40℃、50℃等环境温度梯度下，激光器配合我方指定的实际配套冷水机（制冷机）的整机出光测试数据，包括：满功率输出功率及功率稳定度、M2、单次连续出光时间、冷水机供水温度/流量/压力、激光器关键点温度、高温时降功率保护触发阈值及降额后功率、低温时冷水机从启动到可出光的准备时间、防冻措施及冷却介质冰点验证记录。</w:t>
      </w:r>
    </w:p>
    <w:p w14:paraId="55F4B6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反无装备部署于车载/舰载/固定阵地，环境温度覆盖范围大。只有整机配合实际制冷机的实测数据，才能回答"高温下能否满功率持续打击、低温下能否快速进入作战状态"两个核心作战问题；若高温制冷不足导致降功率或出光时间缩短，将直接影响连续拦截能力；低温启动过慢则贻误战机。该项缺失是现有供应商测试资料中最关键的短板，直接决定装备环境适应性设计（制冷机选型、保温、除湿方案）。</w:t>
      </w:r>
    </w:p>
    <w:p w14:paraId="3DA24F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测试方法：在环境试验箱内搭建"激光器+配套冷水机"整机测试平台，按环境温度梯度（-20/0/25/40/50℃）逐点开展：</w:t>
      </w:r>
    </w:p>
    <w:p w14:paraId="3F29DB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bookmarkStart w:id="35" w:name="_GoBack"/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每个温度点保温≥2h后，满功率连续出光≥300s，记录输出功率、M2、水温及关键点温度随时间变化曲线；</w:t>
      </w:r>
    </w:p>
    <w:p w14:paraId="19E204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高温点验证降功率保护触发阈值、降额后功率及恢复特性；</w:t>
      </w:r>
    </w:p>
    <w:p w14:paraId="75B047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低温点记录冷水机从通电到满足供水条件（水温20~25℃、流量25~30L/min）的启动时间，验证防冻措施；</w:t>
      </w:r>
    </w:p>
    <w:p w14:paraId="3B54E5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每个温度点重复≥3次取统计结果。参考GJB 150.3A高温、GJB 150.4A低温试验方法。</w:t>
      </w:r>
    </w:p>
    <w:bookmarkEnd w:id="35"/>
    <w:p w14:paraId="1DB47FBC">
      <w:pPr>
        <w:pStyle w:val="4"/>
        <w:bidi w:val="0"/>
        <w:rPr>
          <w:rFonts w:hint="eastAsia"/>
          <w:lang w:val="en-US" w:eastAsia="zh-CN"/>
        </w:rPr>
      </w:pPr>
      <w:bookmarkStart w:id="9" w:name="_Toc15339"/>
      <w:r>
        <w:rPr>
          <w:rFonts w:hint="eastAsia"/>
          <w:lang w:val="en-US" w:eastAsia="zh-CN"/>
        </w:rPr>
        <w:t>3.2　数据项2：冷却水温梯度（0℃~99℃）下的光束质量（M2）实测数据 —— 重点项</w:t>
      </w:r>
      <w:bookmarkEnd w:id="9"/>
    </w:p>
    <w:p w14:paraId="67891C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 w:firstLineChars="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冷却水温在0℃、20℃、40℃、60℃、80℃、99℃梯度下，激光器在满功率（3kW）及多功率点（10%、50%、100%）的光束质量M2实测数据，并绘制"冷却水温-光束质量（M2）"变化曲线；同步提供对应条件下的输出功率、功率稳定度、光谱参数（中心波长、3dB谱宽、拉曼抑制比）及关键点温度。</w:t>
      </w:r>
    </w:p>
    <w:p w14:paraId="0F4F4F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作用与重要性：实际连续打击工况下冷却水温会随出光持续升高（可升至60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乃至90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以上），而部分供应商资料仅在20~25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水温下测试。泵浦LD波长随温度漂移（约0.32nm/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），水温升高会改变泵浦吸收系数并降低模式不稳定（TMI）阈值，导致光束质量逐步劣化——可能出现连续工作一段时间、水温升至60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左右时M2显著增大、远场光斑发散、聚焦功率密度大幅下降，有效打击距离与毁伤能力严重缩水的"有功率、无效果"风险。该数据直接决定系统热管理设计与出光策略（限制单次出光时长、两次出光间隔），是评估"持续打击多久、水温多高时仍能保持多好打击效果"的核心依据，为反无产品作战使用边界制定提供数据支撑。</w:t>
      </w:r>
    </w:p>
    <w:p w14:paraId="2B09CB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测试方法：通过冷水机将供水温度分别稳定在0/20/40/60/80/99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sz w:val="24"/>
          <w:szCs w:val="24"/>
        </w:rPr>
        <w:t>（±1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sz w:val="24"/>
          <w:szCs w:val="24"/>
        </w:rPr>
        <w:t>），采用ISO 11146标准测量法（光束质量分析仪/狭缝扫描法）测量M2；每个水温点、每个功率点（10%/50%/100%）测量≥3次取平均值与标准差；同步用功率计记录输出功率、用光谱仪记录光谱参数、用温度传感器记录关键点温度；绘制M2-水温曲线，标注各点环境条件；对60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sz w:val="24"/>
          <w:szCs w:val="24"/>
        </w:rPr>
        <w:t>以上区间建议加密采样点（如每10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sz w:val="24"/>
          <w:szCs w:val="24"/>
        </w:rPr>
        <w:t>）以精确捕捉劣化拐点。</w:t>
      </w:r>
    </w:p>
    <w:p w14:paraId="12DA9587">
      <w:pPr>
        <w:pStyle w:val="4"/>
        <w:bidi w:val="0"/>
        <w:rPr>
          <w:rFonts w:hint="eastAsia"/>
          <w:lang w:val="en-US" w:eastAsia="zh-CN"/>
        </w:rPr>
      </w:pPr>
      <w:bookmarkStart w:id="10" w:name="_Toc32443"/>
      <w:r>
        <w:rPr>
          <w:rFonts w:hint="eastAsia"/>
          <w:lang w:val="en-US" w:eastAsia="zh-CN"/>
        </w:rPr>
        <w:t>3.3　数据项3：整机抗振动、抗冲击特性数据</w:t>
      </w:r>
      <w:bookmarkEnd w:id="10"/>
    </w:p>
    <w:p w14:paraId="3DBA29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本型号整机（光模块+电模块）的振动试验与冲击试验报告，包括试验条件（振动量级、频率范围、持续时间、安装方式；冲击波形、峰值加速度、次数）、通过判据、试验前后功能与性能复测数据（功率、M2、光谱）、振动状态下出光稳定性数据（振动中满功率出光时的功率波动与M2变化曲线）。</w:t>
      </w:r>
    </w:p>
    <w:p w14:paraId="4A5817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反无系统安装在机动车辆等平台上，行驶颠簸、发电机振动、转台运转等振动环境复杂。光纤激光器对振动敏感（光纤盘绕、光纤光栅、熔接点、光路准直），振动可能导致光束质量恶化或器件损伤。部分供应商仅引用"同类产品"GJB 150.16A测试，无法证明本型号整机在机动平台上的适用性；缺少振动状态出光数据，则无法判断打击过程中平台振动对光束质量和毁伤效果的影响。</w:t>
      </w:r>
    </w:p>
    <w:p w14:paraId="0217CB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测试方法：按GJB 150.16A开展整机振动试验（采用高速公路卡车振动谱或装备规定谱，X/Y/Z三轴向分别试验规定时长）；按GJB 150.18A开展冲击试验（规定波形与量级）；振动/冲击前后分别复测满功率输出、M2、光谱对比；振动中同步进行满功率出光测试，记录功率与M2实时曲线。判定标准建议：振动中M2劣化不超过标称值+0.1（如≤1.3）、功率波动不超过±3%，试验后无机械损伤、性能恢复至标称值。</w:t>
      </w:r>
    </w:p>
    <w:p w14:paraId="61FC7392">
      <w:pPr>
        <w:pStyle w:val="4"/>
        <w:bidi w:val="0"/>
        <w:rPr>
          <w:rFonts w:hint="eastAsia"/>
          <w:lang w:val="en-US" w:eastAsia="zh-CN"/>
        </w:rPr>
      </w:pPr>
      <w:bookmarkStart w:id="11" w:name="_Toc10096"/>
      <w:r>
        <w:rPr>
          <w:rFonts w:hint="eastAsia"/>
          <w:lang w:val="en-US" w:eastAsia="zh-CN"/>
        </w:rPr>
        <w:t>3.4　数据项4：不同温度下连续出光时间与两次出光间隔（重频能力）数据</w:t>
      </w:r>
      <w:bookmarkEnd w:id="11"/>
    </w:p>
    <w:p w14:paraId="3757D4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需提供的数据：不同环境温度及冷却水温条件下：</w:t>
      </w:r>
    </w:p>
    <w:p w14:paraId="122A0D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单次连续出光时间上限及达到该时长时的关键点温度；</w:t>
      </w:r>
    </w:p>
    <w:p w14:paraId="6704D2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两次出光之间的最小间隔时间（重频/占空比能力）；</w:t>
      </w:r>
    </w:p>
    <w:p w14:paraId="0E8ACD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 xml:space="preserve"> 单次出光300s后冷却恢复至可再次满功率出光所需时间（冷却恢复曲线）；</w:t>
      </w:r>
    </w:p>
    <w:p w14:paraId="08B922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连续多次出光循环（如"出光300s+间隔T"×5）下功率与M2的变化数据。</w:t>
      </w:r>
    </w:p>
    <w:p w14:paraId="6B9FB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反无打击常需连续拦截多架无人机（蜂群/编队），两次出光间隔直接决定多目标拦截能力，连续出光时间决定单目标持续照射能力。部分供应商资料仅给出"单次连续出光≥300s"单指标，未给出不同温度下的实际连续出光时长、重频能力和冷却恢复时间。缺失该数据，无法制定正确的出光策略（何时出光、出光多久、间隔多久），可能导致热积累引发光束质量劣化或保护性停机，贻误拦截时机。</w:t>
      </w:r>
    </w:p>
    <w:p w14:paraId="1717DD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测试方法：在不同环境温度/冷却水温组合下开展出光-停光循环试验：</w:t>
      </w:r>
    </w:p>
    <w:p w14:paraId="509941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单次连续出光直至保护停机或达到规定上限，记录时长与关键点温度；</w:t>
      </w:r>
    </w:p>
    <w:p w14:paraId="55FE7D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固定出光时长（如300s），逐步缩短停光间隔（如300s/120s/60s/30s），记录每次出光的功率与M2，确定满足指标（功率波动±2%、M2≤1.3）的最小间隔；</w:t>
      </w:r>
    </w:p>
    <w:p w14:paraId="15C218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停光后记录水温降至25℃的时间曲线，得出冷却恢复时间；</w:t>
      </w:r>
    </w:p>
    <w:p w14:paraId="0406B0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按"出光300s+最小间隔"循环≥5次，验证功率与M2的一致性及有无报警。</w:t>
      </w:r>
    </w:p>
    <w:p w14:paraId="532C8071">
      <w:pPr>
        <w:pStyle w:val="4"/>
        <w:bidi w:val="0"/>
        <w:rPr>
          <w:rFonts w:hint="eastAsia"/>
        </w:rPr>
      </w:pPr>
      <w:bookmarkStart w:id="12" w:name="_Toc5072"/>
      <w:r>
        <w:rPr>
          <w:rFonts w:hint="eastAsia"/>
          <w:lang w:val="en-US" w:eastAsia="zh-CN"/>
        </w:rPr>
        <w:t>3.5　数据项5：长时间连续出光功率与光束质量漂移数据</w:t>
      </w:r>
      <w:bookmarkEnd w:id="12"/>
    </w:p>
    <w:p w14:paraId="7014BF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需提供的数据：满功率连续出光≥10min（建议30min）的输出功率、M2、中心波长、3dB谱宽随时间的变化曲线，泵浦源、增益光纤、CPS等关键点温度变化曲线，以及降功率保护/报警触发情况。</w:t>
      </w:r>
    </w:p>
    <w:p w14:paraId="295BFA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长时间连续照射用于打击大型无人机或执行持续压制任务。部分供应商的30分钟功率稳定性测试仅覆盖功率单一参数，未测M2与光谱漂移；长时间出光热积累可能导致M2逐步劣化、谱宽展宽（拉曼成分增加），影响远场聚焦功率密度与大气传输效率，进而影响持续打击能力。该数据用于验证连续作战能力和制定长时间出光的热管理策略。</w:t>
      </w:r>
    </w:p>
    <w:p w14:paraId="68F47C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满功率连续出光≥10min（推荐30min），每30s记录一次输出功率、M2、中心波长、3dB谱宽及关键点温度，绘制漂移曲线；判定建议：功率波动≤±2%、M2劣化≤0.1、无保护性停机/报警；若出现降功率，记录触发点与恢复过程。</w:t>
      </w:r>
    </w:p>
    <w:p w14:paraId="69097485">
      <w:pPr>
        <w:pStyle w:val="4"/>
        <w:bidi w:val="0"/>
        <w:rPr>
          <w:rFonts w:hint="eastAsia"/>
          <w:lang w:val="en-US" w:eastAsia="zh-CN"/>
        </w:rPr>
      </w:pPr>
      <w:bookmarkStart w:id="13" w:name="_Toc11621"/>
      <w:r>
        <w:rPr>
          <w:rFonts w:hint="eastAsia"/>
          <w:lang w:val="en-US" w:eastAsia="zh-CN"/>
        </w:rPr>
        <w:t>3.6　数据项6：功率快速切换（1%↔100%）响应数据</w:t>
      </w:r>
      <w:bookmarkEnd w:id="13"/>
    </w:p>
    <w:p w14:paraId="59F2DA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需提供的数据：功率在1%↔100%之间快速切换时的响应时间、上升/下降沿、超调量、稳态恢复时间，切换过程中M2与中心波长变化；连续快速切换（如10Hz、占空比50%或规定模式）下的稳定性数据。</w:t>
      </w:r>
    </w:p>
    <w:p w14:paraId="6845E1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反无打击需根据目标距离/大小快速调整功率（跟踪阶段低功率、锁定后满功率毁伤），或采用脉冲式出光策略抑制热积累、兼顾多目标。缺失快速功率切换数据，无法评估功率跳变对光束质量、LD驱动可靠性和系统稳定性的影响，也无法设计功率调度策略。</w:t>
      </w:r>
    </w:p>
    <w:p w14:paraId="0CB105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通过控制指令触发功率阶跃（1%→100%、100%→1%），用高速功率探头+示波器记录功率波形，读取上升时间、超调量、恢复时间；同步用高速M2测量设备评估切换过程中光束质量；连续快速切换≥100次，验证无异常报警、无性能劣化；记录切换指令与功率响应的延迟（含通讯与控制链路）。</w:t>
      </w:r>
    </w:p>
    <w:p w14:paraId="1D3FF5AF">
      <w:pPr>
        <w:pStyle w:val="4"/>
        <w:bidi w:val="0"/>
        <w:rPr>
          <w:rFonts w:hint="eastAsia"/>
          <w:lang w:val="en-US" w:eastAsia="zh-CN"/>
        </w:rPr>
      </w:pPr>
      <w:bookmarkStart w:id="14" w:name="_Toc19963"/>
      <w:r>
        <w:rPr>
          <w:rFonts w:hint="eastAsia"/>
          <w:lang w:val="en-US" w:eastAsia="zh-CN"/>
        </w:rPr>
        <w:t>3.7　数据项7：整机系统级联动出光与毁伤效果数据</w:t>
      </w:r>
      <w:bookmarkEnd w:id="14"/>
    </w:p>
    <w:p w14:paraId="4999BB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配合转台/光电跟踪瞄准系统、发射光学系统的整机联动出光测试数据；不同距离（如500m/1km/2km）、不同材料（碳纤维机臂、塑料蒙皮、电机座、桨叶等）无人机目标的毁伤/烧蚀效果数据（毁伤时间、达到毁伤所需能量/功率密度阈值）；不同气象条件（能见度、风速、湍流）下远场光斑功率密度与传输损耗数据；"发现-跟踪-出光-毁伤"全链路反应时间。</w:t>
      </w:r>
    </w:p>
    <w:p w14:paraId="2F5003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激光反无产品交付的是"探测-跟踪-打击"完整系统，仅激光器单机指标不足以证明系统打击效能。整机联动与毁伤数据是产品定型、验收和效能评估的核心依据，也是确定有效射程、出光策略（单次出光时长/功率/重复次数）和作战部署的基础；现有0.25s响应仅为激光器自身指标，无法支撑全链路反应时间评估。</w:t>
      </w:r>
    </w:p>
    <w:p w14:paraId="19FC3F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搭建整机系统（激光器+转台+光电跟踪+靶标），在不同距离放置典型无人机靶标（实机或等效材料试件），开展静态/动态打击试验；记录从跟踪锁定到毁伤的时间、出光时长、照射功率，用热像仪与功率计评估目标表面温升与烧蚀情况；同步记录环境气象条件；按不同距离/材料分组统计毁伤概率（建议每组≥10发，毁伤率≥80%）；采用大气传输测试通道评估远场功率密度。</w:t>
      </w:r>
    </w:p>
    <w:p w14:paraId="00C7C53E">
      <w:pPr>
        <w:pStyle w:val="4"/>
        <w:bidi w:val="0"/>
        <w:rPr>
          <w:rFonts w:hint="eastAsia"/>
          <w:lang w:val="en-US" w:eastAsia="zh-CN"/>
        </w:rPr>
      </w:pPr>
      <w:bookmarkStart w:id="15" w:name="_Toc18410"/>
      <w:r>
        <w:rPr>
          <w:rFonts w:hint="eastAsia"/>
          <w:lang w:val="en-US" w:eastAsia="zh-CN"/>
        </w:rPr>
        <w:t>3.8　数据项8：电磁兼容性（EMC）实测数据</w:t>
      </w:r>
      <w:bookmarkEnd w:id="15"/>
    </w:p>
    <w:p w14:paraId="5B660B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需提供的数据：整机按GJB 151B-2013开展的电磁发射（CE101/CE102/RE102等）与电磁敏感度（CS101/CS114/RS103等）实测报告及测试曲线；与平台其他设备（雷达、通信、光电）共存工作时的互扰测试数据。</w:t>
      </w:r>
    </w:p>
    <w:p w14:paraId="44958B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作用与重要性：反无装备平台设备密集，激光器驱动电路为高频大功率器件，是典型电磁干扰源；同时其控制电路对电磁干扰敏感。部分供应商仅说明"按GJB 151B设计"，无实测结果。缺失EMC实测数据，存在与平台雷达、通信等设备互相干扰、影响系统正常工作的风险，无法支撑装备平台集成。</w:t>
      </w:r>
    </w:p>
    <w:p w14:paraId="319AC6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测试方法：在具备资质的EMC实验室按GJB 151B-2013规定方法开展传导发射、辐射发射、传导敏感度、辐射敏感度等项测试，出具测试报告与曲线；有条件时在装备平台开展整机电磁兼容联试，验证激光器满功率出光时对同平台设备无干扰、且自身在平台电磁环境下正常工作。</w:t>
      </w:r>
    </w:p>
    <w:p w14:paraId="2B3A88C8">
      <w:pPr>
        <w:pStyle w:val="4"/>
        <w:bidi w:val="0"/>
        <w:rPr>
          <w:rFonts w:hint="eastAsia"/>
          <w:lang w:val="en-US" w:eastAsia="zh-CN"/>
        </w:rPr>
      </w:pPr>
      <w:bookmarkStart w:id="16" w:name="_Toc7163"/>
      <w:r>
        <w:rPr>
          <w:rFonts w:hint="eastAsia"/>
          <w:lang w:val="en-US" w:eastAsia="zh-CN"/>
        </w:rPr>
        <w:t>3.9　数据项9：可靠性（MTBF/MTTR）与寿命老化数据</w:t>
      </w:r>
      <w:bookmarkEnd w:id="16"/>
    </w:p>
    <w:p w14:paraId="41CAB0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整机可靠性预计与试验数据（MTBF、MTTR目标值及置信区间）、关键器件（泵浦LD、光纤光栅、CPS）的寿命与老化趋势数据（累计出光时长-功率衰减曲线、波长漂移数据）、加速寿命试验数据与寿命评估结论。</w:t>
      </w:r>
    </w:p>
    <w:p w14:paraId="42EDF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可靠性指标是装备定型与部队使用的必备参数，直接影响保障方案、备件策略与全寿命周期成本；泵浦LD老化会导致功率下降和波长漂移，进而影响光束质量与打击效果。部分供应商仅有定性可靠性设计说明，无量化指标，缺失该数据无法评估装备长期使用效能与保障需求。</w:t>
      </w:r>
    </w:p>
    <w:p w14:paraId="4A353B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测试方法：参考GJB 899A开展可靠性鉴定/验证试验，统计试验数据计算MTBF及置信区间；对泵浦LD等关键器件开展老化试验（规定电流/温度下累计运行数千小时，定期测试功率与波长），外推器件寿命；收集同类产品现场使用与维修数据，计算MTTR，形成可靠性评估报告。</w:t>
      </w:r>
    </w:p>
    <w:p w14:paraId="3C931AC4">
      <w:pPr>
        <w:pStyle w:val="4"/>
        <w:bidi w:val="0"/>
        <w:rPr>
          <w:rFonts w:hint="eastAsia"/>
          <w:lang w:val="en-US" w:eastAsia="zh-CN"/>
        </w:rPr>
      </w:pPr>
      <w:bookmarkStart w:id="17" w:name="_Toc7003"/>
      <w:r>
        <w:rPr>
          <w:rFonts w:hint="eastAsia"/>
          <w:lang w:val="en-US" w:eastAsia="zh-CN"/>
        </w:rPr>
        <w:t>3.10　数据项10：整机工作温度范围与温湿度适应性数据</w:t>
      </w:r>
      <w:bookmarkEnd w:id="17"/>
    </w:p>
    <w:p w14:paraId="5E0528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整机（激光器+配套冷水机）额定工作温度范围及各温度点降额特性表；低温贮存/运输温度范围与冷却介质防冻要求（冰点、排空/保温措施）；高温高湿工作数据（如40℃/RH80%）；温度冲击、湿热试验数据；除湿装置（如除湿接口）在潮湿环境下的工作能力验证数据。</w:t>
      </w:r>
    </w:p>
    <w:p w14:paraId="2BF68F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作用与重要性：部分供应商资料仅有存储温度-25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~50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，无工作温度范围，无法支撑装备环境适应性设计（制冷机选型、保温、除湿方案）与作战使用边界确定；高湿环境可能导致凝露、器件腐蚀与光路劣化，影响装备在南方高温高湿地域的部署使用。</w:t>
      </w:r>
    </w:p>
    <w:p w14:paraId="228663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测试方法：按GJB 150系列开展高温工作、低温工作、温度冲击、湿热（如40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sz w:val="24"/>
          <w:szCs w:val="24"/>
        </w:rPr>
        <w:t>/RH80%）等试验，记录各温度点功能与性能指标（功率、M2、光谱），形成温度-性能曲线与降额策略表；低温贮存后验证冷却介质防冻（-25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sz w:val="24"/>
          <w:szCs w:val="24"/>
        </w:rPr>
        <w:t>下存放后解冻出光）与排空要求；验证除湿装置在目标湿度下的工作效果。</w:t>
      </w:r>
    </w:p>
    <w:p w14:paraId="5588F8D5">
      <w:pPr>
        <w:pStyle w:val="4"/>
        <w:bidi w:val="0"/>
        <w:rPr>
          <w:rFonts w:hint="eastAsia"/>
        </w:rPr>
      </w:pPr>
      <w:bookmarkStart w:id="18" w:name="_Toc9968"/>
      <w:r>
        <w:rPr>
          <w:rFonts w:hint="eastAsia"/>
          <w:lang w:val="en-US" w:eastAsia="zh-CN"/>
        </w:rPr>
        <w:t>3.11　数据项11：关键指标第三方检测报</w:t>
      </w:r>
      <w:r>
        <w:rPr>
          <w:rFonts w:hint="eastAsia"/>
        </w:rPr>
        <w:t>告</w:t>
      </w:r>
      <w:bookmarkEnd w:id="18"/>
    </w:p>
    <w:p w14:paraId="21701C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：由具备CMA/CNAS资质的第三方检测机构出具的输出功率、光束质量M2、光谱（中心波长/谱宽/拉曼抑制比）、电光转换效率、功率稳定性等关键指标检测报告，含检测机构资质、检测依据标准、检测设备清单、测量不确定度及结论。</w:t>
      </w:r>
    </w:p>
    <w:p w14:paraId="6A69F6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作用与重要性：部分供应商提交资料中的关键指标均为自测数据，存在利益冲突，无法作为选型定型依据；第三方检测报告可增强数据可信度与可追溯性，是技术评审、验收归档与军品质量追溯的必备材料。</w:t>
      </w:r>
    </w:p>
    <w:p w14:paraId="524D23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测试方法：委托CMA/CNAS认可机构按ISO 11146（光束质量）、GB/T 15175或IEC标准（激光器参数测试）等复测关键指标，出具正式检测报告；检测样品应为我方抽选或双方共同确认的本型号整机，检测条件应覆盖额定工况及关键环境点。</w:t>
      </w:r>
    </w:p>
    <w:p w14:paraId="2FBCA4BF">
      <w:pPr>
        <w:pStyle w:val="4"/>
        <w:bidi w:val="0"/>
        <w:rPr>
          <w:rFonts w:hint="eastAsia"/>
          <w:lang w:val="en-US" w:eastAsia="zh-CN"/>
        </w:rPr>
      </w:pPr>
      <w:bookmarkStart w:id="19" w:name="_Toc12743"/>
      <w:r>
        <w:rPr>
          <w:rFonts w:hint="eastAsia"/>
          <w:lang w:val="en-US" w:eastAsia="zh-CN"/>
        </w:rPr>
        <w:t>3.12　数据项12：测试报告规范性与数据溯源要求</w:t>
      </w:r>
      <w:bookmarkEnd w:id="19"/>
    </w:p>
    <w:p w14:paraId="6105A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/材料：每项测试提供完整测试报告，包括：报告编号与版本、测试单位与人员、测试日期与地点、测试设备清单（名称、型号、编号、校准有效期）、测试环境条件（温度、湿度、大气压）、测试依据标准、原始数据与处理曲线、测量不确定度、结论与判定；关键指标附原始记录（数据表/截图）</w:t>
      </w:r>
      <w:r>
        <w:rPr>
          <w:rFonts w:hint="eastAsia" w:ascii="Times New Roman" w:hAnsi="Times New Roman" w:eastAsia="宋体" w:cs="国标宋体"/>
          <w:sz w:val="24"/>
        </w:rPr>
        <w:t>。</w:t>
      </w:r>
    </w:p>
    <w:p w14:paraId="22A452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可追溯、可复现的测试记录是技术评审与质量追溯的基础，也是双方验收争议判定的依据。部分供应商提交资料多处"经产品实际验证"缺少测试条件与设备信息，无法核验；规范化的测试报告是军工配套采购的必备文件，直接影响评审效率与通过率。</w:t>
      </w:r>
    </w:p>
    <w:p w14:paraId="1C6317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测试方法/要求：要求供应商按GJB 906或相关测试报告规范编制测试报告；关键数据附原始记录；我方技术评审时可抽取≥20%项目进行复测核验；对引用标准版本、测试设备校准有效期逐项核查。</w:t>
      </w:r>
    </w:p>
    <w:p w14:paraId="24C61569">
      <w:pPr>
        <w:pStyle w:val="4"/>
        <w:bidi w:val="0"/>
        <w:rPr>
          <w:rFonts w:hint="eastAsia"/>
          <w:lang w:val="en-US" w:eastAsia="zh-CN"/>
        </w:rPr>
      </w:pPr>
      <w:bookmarkStart w:id="20" w:name="_Toc26734"/>
      <w:r>
        <w:rPr>
          <w:rFonts w:hint="eastAsia"/>
          <w:lang w:val="en-US" w:eastAsia="zh-CN"/>
        </w:rPr>
        <w:t>3.13　数据项13：累计使用时长记录与寿命考核方案（三级方案）</w:t>
      </w:r>
      <w:bookmarkEnd w:id="20"/>
    </w:p>
    <w:p w14:paraId="009DF9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需提供的数据/材料：</w:t>
      </w:r>
    </w:p>
    <w:p w14:paraId="23D05E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b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</w:rPr>
        <w:t>工程级——累计出光时长台账</w:t>
      </w:r>
      <w:r>
        <w:rPr>
          <w:rFonts w:hint="eastAsia" w:ascii="Times New Roman" w:hAnsi="Times New Roman" w:eastAsia="宋体" w:cs="国标宋体"/>
          <w:sz w:val="24"/>
          <w:szCs w:val="24"/>
        </w:rPr>
        <w:t>：利用激光器上位机/Modbus"出光时间"寄存器自动累计记录每次出光时长与总时长，提供单次出光时长、日/月累计出光时长、报警/保护触发时的工况快照及数据导出格式（如Excel/文本日志）；</w:t>
      </w:r>
    </w:p>
    <w:p w14:paraId="54F294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b/>
          <w:bCs/>
          <w:sz w:val="24"/>
          <w:szCs w:val="24"/>
          <w:lang w:val="en-US" w:eastAsia="zh-CN"/>
        </w:rPr>
        <w:t>（2）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</w:rPr>
        <w:t>器件级——泵浦LD加速老化试验大纲与寿命外推报告</w:t>
      </w:r>
      <w:r>
        <w:rPr>
          <w:rFonts w:hint="eastAsia" w:ascii="Times New Roman" w:hAnsi="Times New Roman" w:eastAsia="宋体" w:cs="国标宋体"/>
          <w:sz w:val="24"/>
          <w:szCs w:val="24"/>
        </w:rPr>
        <w:t>（累计出光时长-功率衰减曲线、波长漂移数据、寿命结论）；</w:t>
      </w:r>
    </w:p>
    <w:p w14:paraId="316861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b/>
          <w:bCs/>
          <w:sz w:val="24"/>
          <w:szCs w:val="24"/>
          <w:lang w:val="en-US" w:eastAsia="zh-CN"/>
        </w:rPr>
        <w:t>（3）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</w:rPr>
        <w:t>整机级——整机作战循环寿命考核方案</w:t>
      </w:r>
      <w:r>
        <w:rPr>
          <w:rFonts w:hint="eastAsia" w:ascii="Times New Roman" w:hAnsi="Times New Roman" w:eastAsia="宋体" w:cs="国标宋体"/>
          <w:sz w:val="24"/>
          <w:szCs w:val="24"/>
        </w:rPr>
        <w:t>（循环模式、样本量、测试时长）与寿命终止判据。</w:t>
      </w:r>
    </w:p>
    <w:p w14:paraId="51620D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FF0000"/>
          <w:sz w:val="24"/>
          <w:szCs w:val="24"/>
        </w:rPr>
        <w:t>作用与重要性：使用寿命是反无装备长期战备与保障规划的核心输入。缺失累计出光时长记录，无法开展寿命管理与定期维护（备件更换、大修周期），也无法为批量产品验收提供"已用时长"溯源；泵浦LD老化会直接导致功率下降与波长漂移，进而影响光束质量与打击效果。三级方案分别从"使用记录、器件寿命、整机寿命"三个层面建立完整寿命数据链，支撑MTBF评估与全寿命周期成本分析，是装备定型与部队使用的必备输入。</w:t>
      </w:r>
    </w:p>
    <w:p w14:paraId="29D4B0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测试方法/要求：</w:t>
      </w:r>
    </w:p>
    <w:p w14:paraId="2E74C8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b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</w:rPr>
        <w:t>工程级</w:t>
      </w:r>
      <w:r>
        <w:rPr>
          <w:rFonts w:hint="eastAsia" w:ascii="Times New Roman" w:hAnsi="Times New Roman" w:eastAsia="宋体" w:cs="国标宋体"/>
          <w:sz w:val="24"/>
          <w:szCs w:val="24"/>
        </w:rPr>
        <w:t>：要求供应商在出厂及后续使用中开启出光时长自动累计功能，出具记录格式说明与样例数据，我方定期导出核验；</w:t>
      </w:r>
    </w:p>
    <w:p w14:paraId="360585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b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</w:rPr>
        <w:t>器件级</w:t>
      </w:r>
      <w:r>
        <w:rPr>
          <w:rFonts w:hint="eastAsia" w:ascii="Times New Roman" w:hAnsi="Times New Roman" w:eastAsia="宋体" w:cs="国标宋体"/>
          <w:sz w:val="24"/>
          <w:szCs w:val="24"/>
        </w:rPr>
        <w:t>：按GJB 899A及器件标准开展泵浦LD加速老化试验（规定电流/温度下累计运行≥5000h，每500h测试功率与波长），外推器件寿命，给出功率衰减至初始90%对应的累计出光时长；</w:t>
      </w:r>
    </w:p>
    <w:p w14:paraId="0E6F5B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b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</w:rPr>
        <w:t>整机级</w:t>
      </w:r>
      <w:r>
        <w:rPr>
          <w:rFonts w:hint="eastAsia" w:ascii="Times New Roman" w:hAnsi="Times New Roman" w:eastAsia="宋体" w:cs="国标宋体"/>
          <w:sz w:val="24"/>
          <w:szCs w:val="24"/>
        </w:rPr>
        <w:t>：按"出光300s+间隔60s"作战循环模式连续运行（建议累计≥500次循环），每50次循环复测功率、M2、光谱，验证无不可恢复故障；</w:t>
      </w:r>
    </w:p>
    <w:p w14:paraId="213F75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Times New Roman" w:hAnsi="Times New Roman" w:eastAsia="宋体" w:cs="国标宋体"/>
        </w:rPr>
      </w:pPr>
      <w:r>
        <w:rPr>
          <w:rFonts w:hint="eastAsia" w:ascii="Times New Roman" w:hAnsi="Times New Roman" w:eastAsia="宋体" w:cs="国标宋体"/>
          <w:b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b/>
          <w:bCs/>
          <w:sz w:val="24"/>
          <w:szCs w:val="24"/>
        </w:rPr>
        <w:t>寿命终止判据建议</w:t>
      </w:r>
      <w:r>
        <w:rPr>
          <w:rFonts w:hint="eastAsia" w:ascii="Times New Roman" w:hAnsi="Times New Roman" w:eastAsia="宋体" w:cs="国标宋体"/>
          <w:sz w:val="24"/>
          <w:szCs w:val="24"/>
        </w:rPr>
        <w:t>：输出功率衰减&gt;10%、M2劣化&gt;0.2或出现不可恢复故障即判定寿命终止。</w:t>
      </w:r>
    </w:p>
    <w:p w14:paraId="03BB3CB5">
      <w:pPr>
        <w:pStyle w:val="3"/>
        <w:bidi w:val="0"/>
        <w:rPr>
          <w:rFonts w:hint="eastAsia"/>
          <w:lang w:val="en-US" w:eastAsia="zh-CN"/>
        </w:rPr>
      </w:pPr>
      <w:bookmarkStart w:id="21" w:name="_Toc24361"/>
      <w:r>
        <w:rPr>
          <w:rFonts w:hint="eastAsia"/>
          <w:lang w:val="en-US" w:eastAsia="zh-CN"/>
        </w:rPr>
        <w:t>4　数据提交要求</w:t>
      </w:r>
      <w:bookmarkEnd w:id="21"/>
    </w:p>
    <w:p w14:paraId="783FD4F8">
      <w:pPr>
        <w:pStyle w:val="4"/>
        <w:bidi w:val="0"/>
        <w:rPr>
          <w:rFonts w:hint="eastAsia"/>
          <w:lang w:val="en-US" w:eastAsia="zh-CN"/>
        </w:rPr>
      </w:pPr>
      <w:bookmarkStart w:id="22" w:name="_Toc2645"/>
      <w:r>
        <w:rPr>
          <w:rFonts w:hint="eastAsia"/>
          <w:lang w:val="en-US" w:eastAsia="zh-CN"/>
        </w:rPr>
        <w:t>4.1　提交方式</w:t>
      </w:r>
      <w:bookmarkEnd w:id="22"/>
    </w:p>
    <w:p w14:paraId="7A45F4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电子版测试报告（Word/PDF）及原始数据表（Excel），数据表按本说明书各数据项模板填报，注明测试条件与设备信息。</w:t>
      </w:r>
    </w:p>
    <w:p w14:paraId="765084E8">
      <w:pPr>
        <w:pStyle w:val="4"/>
        <w:bidi w:val="0"/>
        <w:rPr>
          <w:rFonts w:hint="eastAsia"/>
          <w:lang w:val="en-US" w:eastAsia="zh-CN"/>
        </w:rPr>
      </w:pPr>
      <w:bookmarkStart w:id="23" w:name="_Toc31851"/>
      <w:r>
        <w:rPr>
          <w:rFonts w:hint="eastAsia"/>
          <w:lang w:val="en-US" w:eastAsia="zh-CN"/>
        </w:rPr>
        <w:t>4.2　提交时间</w:t>
      </w:r>
      <w:bookmarkEnd w:id="23"/>
    </w:p>
    <w:p w14:paraId="41334A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建议分两阶段——第一阶段（技术意向确认后30日内）提交现有测试数据、易测数据及第三方检测安排计划；第二阶段（选型评审前）提交需专项试验的全部数据（重点为数据项1、2、3、4）。</w:t>
      </w:r>
    </w:p>
    <w:p w14:paraId="1374D4FB">
      <w:pPr>
        <w:pStyle w:val="4"/>
        <w:bidi w:val="0"/>
        <w:rPr>
          <w:rFonts w:hint="eastAsia"/>
          <w:lang w:val="en-US" w:eastAsia="zh-CN"/>
        </w:rPr>
      </w:pPr>
      <w:bookmarkStart w:id="24" w:name="_Toc9801"/>
      <w:r>
        <w:rPr>
          <w:rFonts w:hint="eastAsia"/>
          <w:lang w:val="en-US" w:eastAsia="zh-CN"/>
        </w:rPr>
        <w:t>4.3　数据确认</w:t>
      </w:r>
      <w:bookmarkEnd w:id="24"/>
    </w:p>
    <w:p w14:paraId="3A1CAB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供应商可结合自身试验能力与我方协商测试方案（如在我方指定的试验场地、使用我方指定的配套冷水机开展联合测试）；双方共同确认测试方法与判定准则。</w:t>
      </w:r>
    </w:p>
    <w:p w14:paraId="2333945A">
      <w:pPr>
        <w:pStyle w:val="3"/>
        <w:bidi w:val="0"/>
        <w:rPr>
          <w:rFonts w:hint="eastAsia"/>
          <w:lang w:val="en-US" w:eastAsia="zh-CN"/>
        </w:rPr>
      </w:pPr>
      <w:bookmarkStart w:id="25" w:name="_Toc22393"/>
      <w:r>
        <w:rPr>
          <w:rFonts w:hint="eastAsia"/>
          <w:lang w:val="en-US" w:eastAsia="zh-CN"/>
        </w:rPr>
        <w:t>5　验收判定建议</w:t>
      </w:r>
      <w:bookmarkEnd w:id="25"/>
    </w:p>
    <w:p w14:paraId="76C2DADD">
      <w:pPr>
        <w:pStyle w:val="4"/>
        <w:bidi w:val="0"/>
        <w:rPr>
          <w:rFonts w:hint="eastAsia"/>
          <w:lang w:val="en-US" w:eastAsia="zh-CN"/>
        </w:rPr>
      </w:pPr>
      <w:bookmarkStart w:id="26" w:name="_Toc27132"/>
      <w:r>
        <w:rPr>
          <w:rFonts w:hint="eastAsia"/>
          <w:lang w:val="en-US" w:eastAsia="zh-CN"/>
        </w:rPr>
        <w:t>5.1　判定原则</w:t>
      </w:r>
      <w:bookmarkEnd w:id="26"/>
    </w:p>
    <w:p w14:paraId="4E8889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</w:rPr>
        <w:t>所有数据须为本型号整机实测、可追溯；关键指标以第三方检测为准；任何一项关键数据（数据项1、2、3、4为重点）缺失或不合格，均不予通过光源选型评审。</w:t>
      </w:r>
    </w:p>
    <w:p w14:paraId="37CCBD54">
      <w:pPr>
        <w:pStyle w:val="4"/>
        <w:bidi w:val="0"/>
        <w:rPr>
          <w:rFonts w:hint="eastAsia"/>
          <w:lang w:val="en-US" w:eastAsia="zh-CN"/>
        </w:rPr>
      </w:pPr>
      <w:bookmarkStart w:id="27" w:name="_Toc26859"/>
      <w:r>
        <w:rPr>
          <w:rFonts w:hint="eastAsia"/>
          <w:lang w:val="en-US" w:eastAsia="zh-CN"/>
        </w:rPr>
        <w:t>5.2　重点考核项</w:t>
      </w:r>
      <w:bookmarkEnd w:id="27"/>
    </w:p>
    <w:p w14:paraId="47FD5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冷却水温梯度（0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sz w:val="24"/>
          <w:szCs w:val="24"/>
        </w:rPr>
        <w:t>~99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sz w:val="24"/>
          <w:szCs w:val="24"/>
        </w:rPr>
        <w:t>）下的光束质量M2曲线及60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℃</w:t>
      </w:r>
      <w:r>
        <w:rPr>
          <w:rFonts w:hint="eastAsia" w:ascii="Times New Roman" w:hAnsi="Times New Roman" w:eastAsia="宋体" w:cs="国标宋体"/>
          <w:sz w:val="24"/>
          <w:szCs w:val="24"/>
        </w:rPr>
        <w:t>以上水温区间的劣化拐点；</w:t>
      </w:r>
    </w:p>
    <w:p w14:paraId="178F96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不同环境温度配合实际制冷机的整机出光数据（满功率、连续出光时间、低温启动时间）；</w:t>
      </w:r>
    </w:p>
    <w:p w14:paraId="5209F9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整机振动试验及振动状态出光稳定性数据；</w:t>
      </w:r>
    </w:p>
    <w:p w14:paraId="4B543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两次出光最小间隔（重频能力）与冷却恢复时间；</w:t>
      </w:r>
    </w:p>
    <w:p w14:paraId="366450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国标宋体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国标宋体"/>
          <w:sz w:val="24"/>
          <w:szCs w:val="24"/>
        </w:rPr>
        <w:t>寿命指标：整机MTBF≥1000h、泵浦LD寿命≥20000h、整机累计出光寿命≥1000h，并具备累计出光时长台账记录与查询功能。</w:t>
      </w:r>
    </w:p>
    <w:p w14:paraId="6FABE1D0">
      <w:pPr>
        <w:pStyle w:val="4"/>
        <w:bidi w:val="0"/>
        <w:rPr>
          <w:rFonts w:hint="eastAsia"/>
          <w:lang w:val="en-US" w:eastAsia="zh-CN"/>
        </w:rPr>
      </w:pPr>
      <w:bookmarkStart w:id="28" w:name="_Toc3749"/>
      <w:r>
        <w:rPr>
          <w:rFonts w:hint="eastAsia"/>
          <w:lang w:val="en-US" w:eastAsia="zh-CN"/>
        </w:rPr>
        <w:t>5.3　补充说明</w:t>
      </w:r>
      <w:bookmarkEnd w:id="28"/>
    </w:p>
    <w:p w14:paraId="1611EE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color w:val="FF0000"/>
          <w:sz w:val="24"/>
          <w:szCs w:val="24"/>
        </w:rPr>
      </w:pPr>
      <w:r>
        <w:rPr>
          <w:rFonts w:hint="eastAsia" w:ascii="Times New Roman" w:hAnsi="Times New Roman" w:eastAsia="宋体" w:cs="国标宋体"/>
          <w:color w:val="auto"/>
          <w:sz w:val="24"/>
          <w:szCs w:val="24"/>
        </w:rPr>
        <w:t>以上数据经评审确认满足要求后，作为双方技术协议/合同附件存档；后续产品交付验收时，关键指标按本说明书测试方法进行复测比对，确保批量产品与样机数据一致。</w:t>
      </w:r>
    </w:p>
    <w:p w14:paraId="6520CE5F">
      <w:pPr>
        <w:pStyle w:val="3"/>
        <w:bidi w:val="0"/>
        <w:rPr>
          <w:rFonts w:hint="eastAsia"/>
        </w:rPr>
      </w:pPr>
      <w:bookmarkStart w:id="29" w:name="_Toc9237"/>
      <w:r>
        <w:rPr>
          <w:rFonts w:hint="eastAsia"/>
          <w:lang w:val="en-US" w:eastAsia="zh-CN"/>
        </w:rPr>
        <w:t>6　寿命指标建议（参考值，供双方协商确定）</w:t>
      </w:r>
      <w:bookmarkEnd w:id="29"/>
    </w:p>
    <w:p w14:paraId="00C5E608">
      <w:pPr>
        <w:pStyle w:val="4"/>
        <w:bidi w:val="0"/>
        <w:rPr>
          <w:rFonts w:hint="eastAsia"/>
          <w:lang w:val="en-US" w:eastAsia="zh-CN"/>
        </w:rPr>
      </w:pPr>
      <w:bookmarkStart w:id="30" w:name="_Toc17755"/>
      <w:r>
        <w:rPr>
          <w:rFonts w:hint="eastAsia"/>
          <w:lang w:val="en-US" w:eastAsia="zh-CN"/>
        </w:rPr>
        <w:t>6.1　整机可靠性指标</w:t>
      </w:r>
      <w:bookmarkEnd w:id="30"/>
    </w:p>
    <w:p w14:paraId="4699AD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  <w:lang w:eastAsia="zh-CN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建议MTBF≥1000h（按GJB 899A可靠性鉴定试验，置信水平80%），MTTR≤2h；作为选型评审的量化门槛。</w:t>
      </w:r>
    </w:p>
    <w:p w14:paraId="518AC7F0">
      <w:pPr>
        <w:pStyle w:val="4"/>
        <w:bidi w:val="0"/>
        <w:rPr>
          <w:rFonts w:hint="eastAsia"/>
          <w:lang w:val="en-US" w:eastAsia="zh-CN"/>
        </w:rPr>
      </w:pPr>
      <w:bookmarkStart w:id="31" w:name="_Toc7290"/>
      <w:r>
        <w:rPr>
          <w:rFonts w:hint="eastAsia"/>
          <w:lang w:val="en-US" w:eastAsia="zh-CN"/>
        </w:rPr>
        <w:t>6.2　泵浦LD寿命阈</w:t>
      </w:r>
      <w:bookmarkEnd w:id="31"/>
    </w:p>
    <w:p w14:paraId="07B6B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  <w:lang w:eastAsia="zh-CN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建议泵浦LD寿命≥20000h（以输出功率衰减至初始值90%为寿命终点，由加速老化试验外推给出），并在台账中标注已用时长与剩余寿命。</w:t>
      </w:r>
    </w:p>
    <w:p w14:paraId="502C2753">
      <w:pPr>
        <w:pStyle w:val="4"/>
        <w:bidi w:val="0"/>
        <w:rPr>
          <w:rFonts w:hint="eastAsia"/>
          <w:lang w:val="en-US" w:eastAsia="zh-CN"/>
        </w:rPr>
      </w:pPr>
      <w:bookmarkStart w:id="32" w:name="_Toc1843"/>
      <w:r>
        <w:rPr>
          <w:rFonts w:hint="eastAsia"/>
          <w:lang w:val="en-US" w:eastAsia="zh-CN"/>
        </w:rPr>
        <w:t>6.3　整机累计出光寿命</w:t>
      </w:r>
      <w:bookmarkEnd w:id="32"/>
    </w:p>
    <w:p w14:paraId="0C5F7D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  <w:lang w:eastAsia="zh-CN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建议整机累计出光寿命≥1000h（按累计出光时长台账管理），达到该值时安排大修或更换泵浦LD模块；单次连续出光≥300s且出光300s后冷却恢复至可再次满功率出光时间≤120s（供系统出光策略设计参考）。</w:t>
      </w:r>
    </w:p>
    <w:p w14:paraId="61A9F06D">
      <w:pPr>
        <w:pStyle w:val="4"/>
        <w:bidi w:val="0"/>
        <w:rPr>
          <w:rFonts w:hint="eastAsia"/>
          <w:lang w:val="en-US" w:eastAsia="zh-CN"/>
        </w:rPr>
      </w:pPr>
      <w:bookmarkStart w:id="33" w:name="_Toc21497"/>
      <w:r>
        <w:rPr>
          <w:rFonts w:hint="eastAsia"/>
          <w:lang w:val="en-US" w:eastAsia="zh-CN"/>
        </w:rPr>
        <w:t>6.4　贮存寿命与战备要求</w:t>
      </w:r>
      <w:bookmarkEnd w:id="33"/>
    </w:p>
    <w:p w14:paraId="7076A4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  <w:lang w:eastAsia="zh-CN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建议整机贮存寿命≥10年（低温贮存-25℃，防冻措施到位），贮存期间每半年通水加电检测一次；从加电到可出光时间建议≤5min（含冷水机启动与自检），支撑快速进入作战状态。</w:t>
      </w:r>
    </w:p>
    <w:p w14:paraId="52D85C5E">
      <w:pPr>
        <w:pStyle w:val="4"/>
        <w:bidi w:val="0"/>
        <w:rPr>
          <w:rFonts w:hint="eastAsia"/>
          <w:lang w:val="en-US" w:eastAsia="zh-CN"/>
        </w:rPr>
      </w:pPr>
      <w:bookmarkStart w:id="34" w:name="_Toc28488"/>
      <w:r>
        <w:rPr>
          <w:rFonts w:hint="eastAsia"/>
          <w:lang w:val="en-US" w:eastAsia="zh-CN"/>
        </w:rPr>
        <w:t>6.5　寿命终止判据与考核要求：</w:t>
      </w:r>
      <w:bookmarkEnd w:id="34"/>
    </w:p>
    <w:p w14:paraId="291FDE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  <w:lang w:eastAsia="zh-CN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输出功率衰减&gt;10%、M2劣化&gt;0.2或出现不可恢复故障，满足任一即判定寿命终止；供应商须随产品提供"累计出光时长台账"查询/导出功能，并在寿命终止前给出预警（如剩余寿命&lt;10%时报警提示）。</w:t>
      </w:r>
    </w:p>
    <w:p w14:paraId="3D9C14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eastAsia="宋体" w:cs="国标宋体"/>
          <w:sz w:val="24"/>
          <w:szCs w:val="24"/>
          <w:lang w:eastAsia="zh-CN"/>
        </w:rPr>
      </w:pPr>
    </w:p>
    <w:p w14:paraId="616C4C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Times New Roman" w:hAnsi="Times New Roman" w:eastAsia="宋体" w:cs="国标宋体"/>
          <w:sz w:val="24"/>
          <w:szCs w:val="24"/>
          <w:lang w:eastAsia="zh-CN"/>
        </w:rPr>
      </w:pPr>
    </w:p>
    <w:p w14:paraId="62DCA0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Times New Roman" w:hAnsi="Times New Roman" w:eastAsia="宋体" w:cs="国标宋体"/>
          <w:sz w:val="24"/>
          <w:szCs w:val="24"/>
          <w:lang w:eastAsia="zh-CN"/>
        </w:rPr>
      </w:pPr>
    </w:p>
    <w:p w14:paraId="5AD728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Times New Roman" w:hAnsi="Times New Roman" w:eastAsia="宋体" w:cs="国标宋体"/>
          <w:sz w:val="24"/>
          <w:szCs w:val="24"/>
          <w:lang w:eastAsia="zh-CN"/>
        </w:rPr>
      </w:pPr>
      <w:r>
        <w:rPr>
          <w:rFonts w:hint="eastAsia" w:ascii="Times New Roman" w:hAnsi="Times New Roman" w:eastAsia="宋体" w:cs="国标宋体"/>
          <w:sz w:val="24"/>
          <w:szCs w:val="24"/>
          <w:lang w:eastAsia="zh-CN"/>
        </w:rPr>
        <w:t>本说明书自双方确认之日起生效，未尽事宜由双方协商补充。</w:t>
      </w:r>
    </w:p>
    <w:sectPr>
      <w:footerReference r:id="rId5" w:type="default"/>
      <w:pgSz w:w="12240" w:h="15840"/>
      <w:pgMar w:top="1440" w:right="1800" w:bottom="1440" w:left="180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altName w:val="DejaVu Math TeX Gyre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ＭＳ 明朝">
    <w:altName w:val="DejaVu Math TeX Gyre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DejaVu Math TeX Gyre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ＭＳ ゴシック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0A741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EC861F">
                          <w:pPr>
                            <w:pStyle w:val="2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EC861F">
                    <w:pPr>
                      <w:pStyle w:val="2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47C0E2C"/>
    <w:rsid w:val="135740F9"/>
    <w:rsid w:val="13BC0EEF"/>
    <w:rsid w:val="227FBA18"/>
    <w:rsid w:val="2CE25F04"/>
    <w:rsid w:val="2FF7845F"/>
    <w:rsid w:val="35BF67CE"/>
    <w:rsid w:val="3BDD5E85"/>
    <w:rsid w:val="43D35CC3"/>
    <w:rsid w:val="4DFBC024"/>
    <w:rsid w:val="6D7B548A"/>
    <w:rsid w:val="6F1F2EAD"/>
    <w:rsid w:val="6FFED50B"/>
    <w:rsid w:val="777B7813"/>
    <w:rsid w:val="77EFD16E"/>
    <w:rsid w:val="77FFD170"/>
    <w:rsid w:val="7C9E5BBB"/>
    <w:rsid w:val="7F1393EE"/>
    <w:rsid w:val="89FF53CB"/>
    <w:rsid w:val="B5A3A4F9"/>
    <w:rsid w:val="B6ED477C"/>
    <w:rsid w:val="B73F2CBD"/>
    <w:rsid w:val="B9FB7DFE"/>
    <w:rsid w:val="BC5AA1CD"/>
    <w:rsid w:val="DD6FFFF5"/>
    <w:rsid w:val="E53F82FA"/>
    <w:rsid w:val="FBFFCAF6"/>
    <w:rsid w:val="FD668372"/>
    <w:rsid w:val="FEF7E92C"/>
    <w:rsid w:val="FF9DB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7"/>
    <w:qFormat/>
    <w:uiPriority w:val="9"/>
    <w:pPr>
      <w:keepNext/>
      <w:keepLines/>
      <w:spacing w:before="80" w:beforeLines="80" w:after="60" w:afterLines="60"/>
      <w:outlineLvl w:val="0"/>
    </w:pPr>
    <w:rPr>
      <w:rFonts w:ascii="Times New Roman" w:hAnsi="Times New Roman" w:eastAsia="黑体" w:cstheme="majorBidi"/>
      <w:b/>
      <w:bCs/>
      <w:color w:val="000000" w:themeColor="text1"/>
      <w:sz w:val="30"/>
      <w:szCs w:val="28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10" w:after="30" w:afterLines="30"/>
      <w:outlineLvl w:val="1"/>
    </w:pPr>
    <w:rPr>
      <w:rFonts w:eastAsia="黑体" w:asciiTheme="majorAscii" w:hAnsiTheme="majorAscii" w:cstheme="majorBidi"/>
      <w:bCs/>
      <w:color w:val="000000" w:themeColor="text1"/>
      <w:sz w:val="24"/>
      <w:szCs w:val="26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toc 1"/>
    <w:basedOn w:val="1"/>
    <w:next w:val="1"/>
    <w:semiHidden/>
    <w:unhideWhenUsed/>
    <w:qFormat/>
    <w:uiPriority w:val="39"/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30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31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ing 1 Char"/>
    <w:basedOn w:val="134"/>
    <w:link w:val="3"/>
    <w:qFormat/>
    <w:uiPriority w:val="9"/>
    <w:rPr>
      <w:rFonts w:ascii="Times New Roman" w:hAnsi="Times New Roman" w:eastAsia="黑体" w:cstheme="majorBidi"/>
      <w:b/>
      <w:bCs/>
      <w:color w:val="000000" w:themeColor="text1"/>
      <w:sz w:val="30"/>
      <w:szCs w:val="28"/>
      <w14:textFill>
        <w14:solidFill>
          <w14:schemeClr w14:val="tx1"/>
        </w14:solidFill>
      </w14:textFill>
    </w:rPr>
  </w:style>
  <w:style w:type="character" w:customStyle="1" w:styleId="138">
    <w:name w:val="Header Char"/>
    <w:basedOn w:val="134"/>
    <w:link w:val="25"/>
    <w:qFormat/>
    <w:uiPriority w:val="99"/>
  </w:style>
  <w:style w:type="character" w:customStyle="1" w:styleId="139">
    <w:name w:val="Footer Char"/>
    <w:basedOn w:val="134"/>
    <w:link w:val="24"/>
    <w:qFormat/>
    <w:uiPriority w:val="99"/>
  </w:style>
  <w:style w:type="paragraph" w:styleId="14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1">
    <w:name w:val="Heading 2 Char"/>
    <w:basedOn w:val="134"/>
    <w:link w:val="4"/>
    <w:qFormat/>
    <w:uiPriority w:val="9"/>
    <w:rPr>
      <w:rFonts w:eastAsia="黑体" w:asciiTheme="majorAscii" w:hAnsiTheme="majorAscii" w:cstheme="majorBidi"/>
      <w:bCs/>
      <w:color w:val="000000" w:themeColor="text1"/>
      <w:sz w:val="24"/>
      <w:szCs w:val="26"/>
      <w14:textFill>
        <w14:solidFill>
          <w14:schemeClr w14:val="tx1"/>
        </w14:solidFill>
      </w14:textFill>
    </w:rPr>
  </w:style>
  <w:style w:type="character" w:customStyle="1" w:styleId="142">
    <w:name w:val="Heading 3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4"/>
    <w:link w:val="19"/>
    <w:qFormat/>
    <w:uiPriority w:val="99"/>
  </w:style>
  <w:style w:type="character" w:customStyle="1" w:styleId="147">
    <w:name w:val="Body Text 2 Char"/>
    <w:basedOn w:val="134"/>
    <w:link w:val="30"/>
    <w:qFormat/>
    <w:uiPriority w:val="99"/>
  </w:style>
  <w:style w:type="character" w:customStyle="1" w:styleId="148">
    <w:name w:val="Body Text 3 Char"/>
    <w:basedOn w:val="134"/>
    <w:link w:val="17"/>
    <w:qFormat/>
    <w:uiPriority w:val="99"/>
    <w:rPr>
      <w:sz w:val="16"/>
      <w:szCs w:val="16"/>
    </w:rPr>
  </w:style>
  <w:style w:type="character" w:customStyle="1" w:styleId="149">
    <w:name w:val="Macro Text Char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4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4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8089</Words>
  <Characters>8926</Characters>
  <Lines>0</Lines>
  <Paragraphs>0</Paragraphs>
  <TotalTime>14</TotalTime>
  <ScaleCrop>false</ScaleCrop>
  <LinksUpToDate>false</LinksUpToDate>
  <CharactersWithSpaces>9259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翁春梅16623408167</cp:lastModifiedBy>
  <dcterms:modified xsi:type="dcterms:W3CDTF">2026-09-04T07:41:10Z</dcterms:modified>
  <dc:title>激光反无光源配套数据需求说明书（3kW光纤激光器）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7BE0C0C9CA0741CFBF19EFB55670392D_13</vt:lpwstr>
  </property>
  <property fmtid="{D5CDD505-2E9C-101B-9397-08002B2CF9AE}" pid="4" name="KSOTemplateDocerSaveRecord">
    <vt:lpwstr>eyJoZGlkIjoiY2I5NDQxNTBiMDk3YjQ4NmFkNzBlZmU2NWUxNThmYzMiLCJ1c2VySWQiOiIxODY4NTQwOTQ2In0=</vt:lpwstr>
  </property>
</Properties>
</file>